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919"/>
        <w:gridCol w:w="919"/>
        <w:gridCol w:w="142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预算单价（万元）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预算总价（万元）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胸穿模型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0.74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腰椎穿刺模型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0.595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护理模拟人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0.6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电动吸引器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0.126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心肺复苏模（带电子监测）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1.6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小儿股静脉与股动脉穿刺仿真标准化病人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0.238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下肢切开缝合训练仿真模型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0.165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透明男（女）性导尿仿真模型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0.656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透明洗胃、胃肠减压仿真标准化病人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0.782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术前无菌操作训练模型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0.51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复苏/梗塞处理婴儿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多媒体经穴学及针刺仿真训练系统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AED自动体外除颤训练器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0.63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半身复苏安妮+液晶显示器（2台）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腹部移动性浊音叩诊与腹腔穿刺仿真标准化病人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0.358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2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A4ZDg5Y2Y0MWJiZDVkNzQ4MjI1OGZhN2VlODkifQ=="/>
  </w:docVars>
  <w:rsids>
    <w:rsidRoot w:val="00000000"/>
    <w:rsid w:val="16A916A1"/>
    <w:rsid w:val="1A8B326B"/>
    <w:rsid w:val="784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2023-12-14T00:23:00Z</dcterms:created>
  <dc:creator>Administrator</dc:creator>
  <cp:lastModifiedBy>101390752432</cp:lastModifiedBy>
  <dcterms:modified xsi:type="dcterms:W3CDTF">2024-01-02T09:49:13Z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19E3B32EEA774ECA895C9F827D314780_12</vt:lpwstr>
  </property>
</Properties>
</file>