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项目清单</w:t>
      </w:r>
    </w:p>
    <w:tbl>
      <w:tblPr>
        <w:tblStyle w:val="6"/>
        <w:tblW w:w="884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6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抗核抗体检测10项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补体C4测定(C4)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单纯疱疹病毒组合4项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补体C3测定(C3)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免疫球蛋白定量测定(IgA、IgG、IgM)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血管炎标志抗体5项(2015)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抗环瓜酸肽抗体(CCP)测定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总IgE定量测定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血转铁蛋白测定(TRF)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类胰岛素生长因子-1(IGF-1)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尿敏感肾功能7项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人类白细胞抗原B27测定(HLA-B27)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自身免疫性肝病抗体检测组合7项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轻链KAPPA+LAMBDA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17羟孕酮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尿β2微球蛋白测定(β2-MGU)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尿液免疫球蛋白IgG定量测定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血清总胆汁酸测定(TBA)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血清前白蛋白测定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总铁结合力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神经元特异性烯醇化酶抗体(NSE)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降钙素测定(CT)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(新)高血压四项(立位)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一般细菌培养及鉴定+药敏试验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TORCH检测项目八项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尿微量蛋白检测组合4项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戊型肝炎病毒抗体IgM(HEV-IgM)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血清甲状腺球蛋白测定(TG)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肝炎全套14项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上呼吸道感染EB病毒4项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铜蓝蛋白测定(CER)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免疫球蛋白六项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促肾上腺皮质激素8AM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皮质醇8AM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贫血四项(Fer+VB12+Folate+TRF)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糖尿病自身抗体三项(GAD-Ab、IAA、ICA)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糖化血红蛋白测定(HbA1C)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尿微量白蛋白测定(mALB)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尿视黄醇结合蛋白(RBPU)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尿轻链组合二项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(新)高血压四项(卧位)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25-羟基维生素D(单项)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促甲状腺素受体抗体(TR-Ab)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免疫球蛋白五项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抗核抗体检测组合20项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人乳头瘤病毒分型全套检测(HPV23分型)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乙肝脱氧核糖核酸扩增定量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甲状旁腺激素测定(PTH)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24小时尿蛋白定量(u-TP/24h)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液基薄层细胞学(TCT)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6"/>
        <w:tblW w:w="885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6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25羟维生素D测定(3项)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维生素5项检测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维生素6项检测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呼吸道感染病原体IgM抗体谱8项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过敏原全套筛查14项(吸入物变应原+食物过敏筛查)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微量元素十项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微量元素15项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微量元素18项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人附睾蛋白4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微量元素六项(Fe、Mg、Ca、Cu、Zn、Pb)质谱法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微量元素五项(Fe、Mg、Ca、Cu、Zn)质谱法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叶酸及含叶酸类药物(MTHFR多态性)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柯萨奇病毒A16型核酸RNA检测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维生素九项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肠道病毒71型核酸RNA检测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血清免疫固定电泳(IF)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细菌内毒素定量检测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白细胞染色体损伤（流式体外微核）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T细胞和NK细胞溶酶体PH检测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T细胞亚群线粒体损伤检测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儿茶酚胺谱(3项)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儿茶酚胺谱(5项)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儿茶酚胺谱(7项)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骨代谢疾病检测组合5项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抗缪勒管激素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胃部疾病相关检测组合3项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解脲脲原体核酸检测(UU-RNA)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沙眼衣原体核酸检测(CT-RNA)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淋病奈瑟菌核酸检测(NG-RNA)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生殖支原体核酸检测(MG-RNA)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EV-RNA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结核感染T细胞检测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P16/Ki-67、MCM2三联检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P16/Ki-67、TOP2A/MCM2四联检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子痫二项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血管内皮生长因子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壳多糖酶3样蛋白1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结直肠癌血浆游离SEPT9甲基化检测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乙肝病毒P区耐药基因测序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高灵敏度丙肝RNA(低拷贝HCV-RNA)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幽门螺杆菌培养及鉴定+药敏试验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环孢素(CYP3A4多态性)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肺炎支原体RNA检测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遗传性耳聋基因检测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（1-3）-β-D葡聚糖检测（真菌G试验）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曲霉菌抗原（GM试验）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氨基酸10项检测（质谱法）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氨基酸20项检测（质谱法）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VAP血脂亚组分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胆汁酸谱 16 项（质谱法）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类固醇激素 11 项（质谱法）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HLA-B27基因分型检测(基因)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异常糖链糖蛋白（TAP）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亚甲基四氢叶酸还原酶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别嘌呤醇(HLA-B多态性)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高血压基因检测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糖尿病基因检测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诺如病毒核糖核酸定性检测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外周血染色体核型分析（400带）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外周血染色体核型分析（500带）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Cox A16-RNA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EV70-RNA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各药物浓度（质谱法）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各药物基因检测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结核分歧杆菌rpoB基因和突变（Xpert MTB/RIF）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6"/>
        <w:tblW w:w="886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40"/>
        <w:gridCol w:w="6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肺炎支原体核酸及耐药突变位点检测项目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结核分枝杆菌抗体五联检测外送服务项目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24种呼吸道病原体核酸检测项目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生殖道病原体核酸检测项目（35项）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幽门螺杆菌分型和耐药基因检测项目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78" w:rightChars="323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检测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服务要求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78" w:rightChars="323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（1）检验报告出具时间：按院方要求时间发放检验报告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报告单可在网上查询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spacing w:line="460" w:lineRule="exact"/>
        <w:ind w:right="678" w:rightChars="323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）所有样本的运送必须符合样本温度的管理要求，有专业的标本冷链物流配送，温度控制在全程2-8℃，数据记录保存≥2年，备查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spacing w:line="460" w:lineRule="exact"/>
        <w:ind w:right="678" w:rightChars="323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）突发情况：院方自己开展项目仪器发生故障时，提供标本紧急检验服务，按照同类外送项目标本扣率收取费用，不另计费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spacing w:line="460" w:lineRule="exact"/>
        <w:ind w:right="678" w:rightChars="323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）特殊标本：提供临时加急服务，提供具体方案及报告出具时限等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spacing w:line="460" w:lineRule="exact"/>
        <w:ind w:right="678" w:rightChars="323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）提供专业客户服务人员：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提供电话号码，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日常电话及时应答，投诉2小时内回复调查进展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spacing w:line="460" w:lineRule="exact"/>
        <w:ind w:right="678" w:rightChars="323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）投标人具有完善的质控系统按照检验质控要求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spacing w:line="460" w:lineRule="exact"/>
        <w:ind w:right="678" w:rightChars="323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）根据院方需求，免费提供院方用于相关标本存放用品、耗材等，提供每次到货清单、货联、合格证、医疗器械注册证等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/>
          <w:sz w:val="28"/>
          <w:szCs w:val="28"/>
        </w:rPr>
        <w:t>需求</w:t>
      </w:r>
    </w:p>
    <w:tbl>
      <w:tblPr>
        <w:tblStyle w:val="6"/>
        <w:tblW w:w="9000" w:type="dxa"/>
        <w:tblInd w:w="-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4444"/>
        <w:gridCol w:w="151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after="120" w:afterLines="50" w:line="360" w:lineRule="auto"/>
              <w:jc w:val="center"/>
              <w:outlineLvl w:val="0"/>
              <w:rPr>
                <w:rFonts w:hint="eastAsia"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标项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after="120" w:afterLines="50" w:line="360" w:lineRule="auto"/>
              <w:jc w:val="center"/>
              <w:outlineLvl w:val="0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采购内容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after="120" w:afterLines="50" w:line="360" w:lineRule="auto"/>
              <w:jc w:val="center"/>
              <w:outlineLvl w:val="0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单位及数量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after="120" w:afterLines="50" w:line="360" w:lineRule="auto"/>
              <w:jc w:val="center"/>
              <w:outlineLvl w:val="0"/>
              <w:rPr>
                <w:rFonts w:hint="default" w:ascii="宋体" w:hAnsi="宋体" w:cs="Arial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sz w:val="24"/>
                <w:lang w:val="en-US" w:eastAsia="zh-CN"/>
              </w:rPr>
              <w:t>限价（不得高于）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普通</w:t>
            </w:r>
            <w:r>
              <w:rPr>
                <w:rFonts w:hint="eastAsia" w:ascii="宋体" w:hAnsi="宋体"/>
                <w:color w:val="000000"/>
                <w:sz w:val="24"/>
              </w:rPr>
              <w:t>检验项目外送服务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部分特殊检验项目</w:t>
            </w:r>
            <w:r>
              <w:rPr>
                <w:rFonts w:hint="eastAsia" w:ascii="宋体" w:hAnsi="宋体"/>
                <w:color w:val="000000"/>
                <w:sz w:val="24"/>
              </w:rPr>
              <w:t>外送服务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4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部分特殊检验项目</w:t>
            </w:r>
            <w:r>
              <w:rPr>
                <w:rFonts w:hint="eastAsia" w:ascii="宋体" w:hAnsi="宋体"/>
                <w:color w:val="000000"/>
                <w:sz w:val="24"/>
              </w:rPr>
              <w:t>外送服务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1-3标段，根据医院发展需求，新技术项目新项目需与市场同步接轨，结算扣率参考本次议标结果。</w:t>
            </w:r>
          </w:p>
        </w:tc>
      </w:tr>
    </w:tbl>
    <w:p>
      <w:pPr>
        <w:spacing w:line="460" w:lineRule="exact"/>
        <w:ind w:right="678" w:rightChars="323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zA4ZDg5Y2Y0MWJiZDVkNzQ4MjI1OGZhN2VlODkifQ=="/>
  </w:docVars>
  <w:rsids>
    <w:rsidRoot w:val="50692779"/>
    <w:rsid w:val="237E0009"/>
    <w:rsid w:val="50692779"/>
    <w:rsid w:val="6906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next w:val="1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character" w:styleId="8">
    <w:name w:val="page number"/>
    <w:qFormat/>
    <w:uiPriority w:val="0"/>
  </w:style>
  <w:style w:type="character" w:customStyle="1" w:styleId="9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2024-02-24T08:07:00Z</dcterms:created>
  <dc:creator>101390752432</dc:creator>
  <cp:lastModifiedBy>101390752432</cp:lastModifiedBy>
  <dcterms:modified xsi:type="dcterms:W3CDTF">2024-02-24T12:19:56Z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14ED4B8AFC7E4783BF9E724AA90AA554_11</vt:lpwstr>
  </property>
</Properties>
</file>