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</w:rPr>
        <w:t>电子病历四级改造和2024年系统运维</w:t>
      </w:r>
      <w:r>
        <w:rPr>
          <w:rFonts w:hint="eastAsia" w:ascii="宋体" w:hAnsi="宋体" w:eastAsia="宋体" w:cs="宋体"/>
          <w:bCs/>
          <w:snapToGrid/>
          <w:kern w:val="0"/>
          <w:sz w:val="32"/>
          <w:szCs w:val="32"/>
          <w:lang w:val="en-US" w:eastAsia="zh-CN" w:bidi="ar-SA"/>
        </w:rPr>
        <w:t>项目</w:t>
      </w:r>
    </w:p>
    <w:p>
      <w:pPr>
        <w:pStyle w:val="3"/>
        <w:numPr>
          <w:ilvl w:val="1"/>
          <w:numId w:val="0"/>
        </w:numPr>
        <w:ind w:leftChars="0"/>
      </w:pPr>
      <w:r>
        <w:rPr>
          <w:rFonts w:hint="eastAsia"/>
          <w:lang w:val="en-US" w:eastAsia="zh-CN"/>
        </w:rPr>
        <w:t>一：</w:t>
      </w:r>
      <w:r>
        <w:t>项目主要建设内容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本项目主要建设内容包括对标电子病历4级核心业务系统改造优化、电子病历4级评测贴身服务、新建不良事件管理系统和2024年运维及临床需求、指令性任务定制化改造等，具体建设内容如下：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1、对标电子病历4级核心业务系统改造优化包括基础资料管理系统改造、门诊医生站改造、住院医生站改造、住院护士站改造、治疗信息处理改造、医疗保障改造及检验处理改造等；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2、电子病历4级评测贴身服务包括报名阶段服务、文审及文审修订服务等；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3、新建不良事件管理系统包括用户模块、不良事件上报、上报记录、表单配置管理、审核模块、统计模块及数据源模块等；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4、2024年运维及临床需求、指令性任务定制化改造包括已建系统维护与升级服务、接口改造工作及运营发展中心相关指标分析（运营发展快报）等。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附件：项目需求清单</w:t>
      </w:r>
    </w:p>
    <w:tbl>
      <w:tblPr>
        <w:tblStyle w:val="4"/>
        <w:tblW w:w="8409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79"/>
        <w:gridCol w:w="1911"/>
        <w:gridCol w:w="4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分类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系统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子系统/模块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对标电子病历4级核心业务系统改造优化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基础资料管理系统改造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检验、检查项目基础资料知识库维护功能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门诊医生站改造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门诊医生站报告查询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门诊医生开立检查检验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门诊医生查询患者历史病历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麻醉记录单查询功能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住院医生站改造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住院医生报告查询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住院医生开立检查检验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手术申请功能改造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麻醉记录单查询功能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住院护士站改造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改造智能提示患者入院时基本处理流程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改造护士执行单，护理文书签名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麻醉记录单查询功能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治疗信息处理改造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电子病历与麻醉系统对接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医疗保障改造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HIS与输血系统改造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PDA与输血系统改造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PDA护理巡视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PDA排药核对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PDA输液巡视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PDA手术闭环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药品准备（集中摆药、配液等）过程改造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检验处理改造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检验危急值处理改造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危急值追溯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检查危急值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评级服务</w:t>
            </w: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电子病历四级评测贴身服务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报名阶段服务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文审及文审修订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新建系统</w:t>
            </w: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不良事件管理系统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不良事件上报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上报记录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表单配置管理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数据源模块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2024年运维、指令性任务定制化改造</w:t>
            </w: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已建系统日常运行维护服务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信息集成平台系统维护服务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门诊临床业务系统维护服务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住院临床业务系统维护服务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急诊临床业务系统维护服务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移动医疗维护服务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接口改造工作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医疗机构麻精毒对接接口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湖州市排队叫号接口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用血直免接口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自助机慢特病结算接口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医疗电子票据管理系统接口3.4改造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住院生育结算改造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全国医保电子票据信息上传接口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外配处方接口2.0改造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食源性报卡上传对接接口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献血挂号减免接口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万达孕产减免接口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金塘签约减免接口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妇幼减免接口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协同桌面重复用药接口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发热门诊数据上报与排队叫号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云药房CA接口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无人药房接口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建达收费监督接口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系统活跃性监测接口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人寿理赔信息确认接口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浙江省云陪诊应用接口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二级公立中医医院国考指标分析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门诊中药处方比例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门诊散装中药饮片和小包装中药饮片处方比例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门诊中药饮片使用率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出院患者中药饮片使用率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门诊中医非药物疗法使用比例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出院患者中医非药物疗法使用比例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以中医为主治疗的出院患者比例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手术患者围手术期中医治疗比例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手术患者并发症发生率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理法方药使用一致的出院患者比例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抗菌药物使用强度 (DDDs)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重点监控化学药品和生物制品收入占比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中药饮片收入占药品收入比例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门诊中医医疗服务项目收入占医疗收入比例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出院患者中医医疗服务项目收入占医疗收入比例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医疗服务收入（不含药品、耗材、检查检验收入）占医疗收入比例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门诊次均费用增幅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出院患者次均费用增幅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门诊次均药品费用增幅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出院患者次均药品费用增幅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医务人员满意度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药品使用相关指标分析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门诊药品比例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住院药品比例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住院患者抗生素使用率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门诊抗生素使用率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基本药物使用比例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诊疗业务相关指标分析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临床路径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三级查房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业务学习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医疗收入相关指标分析</w:t>
            </w:r>
          </w:p>
        </w:tc>
        <w:tc>
          <w:tcPr>
            <w:tcW w:w="4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辅助药品收入占比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CACF2"/>
    <w:multiLevelType w:val="multilevel"/>
    <w:tmpl w:val="A0ACACF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  <w:b/>
        <w:bCs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宋体" w:hAnsi="宋体" w:eastAsia="宋体" w:cs="宋体"/>
        <w:b/>
        <w:bCs/>
        <w:sz w:val="30"/>
        <w:szCs w:val="30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default" w:ascii="宋体" w:hAnsi="宋体" w:eastAsia="宋体" w:cs="宋体"/>
        <w:b/>
        <w:bCs/>
        <w:sz w:val="28"/>
        <w:szCs w:val="28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default" w:ascii="宋体" w:hAnsi="宋体" w:eastAsia="宋体" w:cs="宋体"/>
        <w:b/>
        <w:bCs/>
        <w:sz w:val="28"/>
        <w:szCs w:val="28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  <w:b/>
        <w:bCs/>
        <w:sz w:val="28"/>
        <w:szCs w:val="28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DC402"/>
    <w:rsid w:val="6A55322A"/>
    <w:rsid w:val="CFFDC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1"/>
        <w:numId w:val="1"/>
      </w:numPr>
      <w:tabs>
        <w:tab w:val="left" w:pos="0"/>
      </w:tabs>
      <w:spacing w:before="260" w:after="260" w:line="413" w:lineRule="auto"/>
      <w:outlineLvl w:val="1"/>
    </w:pPr>
    <w:rPr>
      <w:rFonts w:ascii="宋体" w:hAnsi="宋体" w:cs="宋体"/>
      <w:b/>
      <w:bCs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楷体" w:hAnsi="楷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1492</Words>
  <Characters>1606</Characters>
  <Lines>0</Lines>
  <Paragraphs>0</Paragraphs>
  <TotalTime>4</TotalTime>
  <ScaleCrop>false</ScaleCrop>
  <LinksUpToDate>false</LinksUpToDate>
  <CharactersWithSpaces>1607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2024-07-03T02:02:00Z</dcterms:created>
  <dc:creator>郑荣涛</dc:creator>
  <cp:lastModifiedBy>胡晓鸥</cp:lastModifiedBy>
  <dcterms:modified xsi:type="dcterms:W3CDTF">2024-07-05T08:04:55Z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1CAE534DED974A63BBF8C4885B4AA061_13</vt:lpwstr>
  </property>
</Properties>
</file>